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b/>
          <w:szCs w:val="21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第二讲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幽门螺杆菌感染及诊治流程</w:t>
      </w:r>
    </w:p>
    <w:p>
      <w:pP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Cs w:val="21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</w:rPr>
        <w:t>解放军第九〇〇医院消化内科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</w:rPr>
        <w:t>王雯</w:t>
      </w:r>
    </w:p>
    <w:p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幽门螺杆菌（Helicobacterpylori，Hp）是一种革兰染色阴性螺旋状细菌，主要通过口⁃口途径在人与人之间传播。Hp从口腔进入人体后特异地定植于胃型上皮（gastrictypeepithelium），定植后机体难以自发清除，从而造成持久或终生感染。Hp感染几乎均可引起胃黏膜活动性炎症，在慢性炎症活动的基础上，部分患者还可发生消化性溃疡和胃癌等一系列疾病。</w:t>
      </w:r>
    </w:p>
    <w:p>
      <w:pPr>
        <w:ind w:firstLine="42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Hp感染是慢性胃炎最主要的病因，世界范围内Hp感染率超过50%。《幽门螺杆菌胃炎京都全球共识》（以下简称京都共识）报告指出，Hp感染是一种感染性疾病，几乎所有的Hp感染患者均有慢性活动性胃炎。Hp感染者中，约15%~20%发生消化性溃疡，5%~10%发生Hp相关消化不良，约1%发生胃癌和胃黏膜相关淋巴组织（MALT）淋巴瘤。</w:t>
      </w:r>
    </w:p>
    <w:p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幽门螺杆菌感染病理生理过程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Hp感染后机体难以自发清除，如不治疗，往往造成终生感染，即长期存在慢性活动性胃炎。慢性活动性胃炎可导致部分患者产生消化不良症状；以胃窦胃炎为主者部分可发生十二指肠溃疡；在Hp毒力因素、遗传因素和环境因素共同作用下，部分患者可发生胃黏膜萎缩/肠化生，此基础上，少部分患者发生胃溃疡，极少部分（&lt;1%）患者发生胃癌。此外，感染者中极少部分患者还会发生胃MALT淋巴瘤。</w:t>
      </w:r>
    </w:p>
    <w:p>
      <w:pPr>
        <w:ind w:firstLine="43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Hp胃炎的胃内分布部位（胃窦为主胃炎、胃体为主胃炎和全胃炎）在很大程度上决定了Hp感染后胃酸分泌的变化，胃酸分泌的高低则影响了Hp胃炎的结局。例如，胃窦感染为主者多数胃酸分泌增加，这些患者十二指肠溃疡发生的风险增加（十二指肠溃疡表型胃炎），而胃癌发生风险则降低。而胃体感染为主者多数胃酸分泌降低，这些患者发生胃癌的风险增加（胃癌表型胃炎），而发生十二指肠溃疡的风险则降低。多数轻度全胃炎患者胃酸分泌无明显改变（单纯慢性胃炎表型）。</w:t>
      </w:r>
    </w:p>
    <w:p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Hp感染与胃癌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目前认为Hp感染是预防胃癌最重要的可控危险因素。证据质量:高;推荐强度:强;共识水平:95.2%。早在1994年世界卫生组织(WHO)下属的国际癌症研究机构(InternationalAgencyforＲesearchonCancer，IAＲC)就将Hp定为胃癌的Ⅰ类致癌原。大量研究证据显示，肠型胃癌(占胃癌大多数)的发生是Hp感染、环境因素和遗传因素共同作用的结果。据估计，约90%非贲门部胃癌的发生与Hp感染相关;环境因素在胃癌发生中的总体作用次于Hp感染;遗传因素在约1%～3%的遗传性弥漫性胃癌发生中起决定作用。因此Hp感染是目前预防胃癌最重要且可控的危险因素，根除Hp应成为胃癌的一级预防措施。</w:t>
      </w:r>
    </w:p>
    <w:p>
      <w:pPr>
        <w:ind w:firstLine="43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胃黏膜萎缩和(或)肠化生发生前实施Hp根除治疗可更有效地降低胃癌发生风险。根除Hp可改善胃黏膜炎性反应，阻止或延缓胃黏膜萎缩、肠化生的发生和发展，部分逆转萎缩，但难以逆转肠化生。在胃黏膜萎缩和(或)肠化生发生前根除Hp，消除了炎性反应，胃黏膜不再发生萎缩和(或)肠化生，阻断了Correa模式“肠型胃癌演变”的进程，几乎可完全消除肠型胃癌发生的风险。已发生胃黏膜萎缩和(或)肠化生者根除Hp可延缓胃黏膜萎缩、肠化生发展，也可不同程度地降低胃癌发生风险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血清胃蛋白酶原和Hp抗体联合检测可用于筛查有胃黏膜萎缩的胃癌高风险人群。证据质量:低;推荐强度:强;共识水平:95．2%。包括胃蛋白酶原(Ⅰ和Ⅱ)、Hp抗体和胃泌素-17在内的一组血清学试验已被证实可筛查胃黏膜萎缩，包括胃窦或胃体黏膜萎缩，被称为“血清学活检”(serologicalbiopsy)。胃黏膜萎缩特别是胃体黏膜萎缩者是胃癌发生高危人群，非侵入性血清学筛查与内镜检查结合，有助于提高胃癌预防水平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推荐在胃癌高风险个体筛查和根除Hp。根除Hp后有胃黏膜萎缩和(或)肠化生者需要随访。根除Hp不仅可降低胃癌发生风险，也可有效预防消化性溃疡和Hp相关消化不良。相关资料分析显示，在亚洲胃癌高发国家，实施根除Hp预防胃癌策略具有成本-效益比优势。我国内镜检查和Hp检测费用均较低;多数根除Hp的药物价格低廉;早期胃癌检出率低，晚期胃癌预后差;根除Hp是短期治疗，但预防Hp相关疾病可获得长期效果。因此，在我国胃癌高发区实施根除Hp预防胃癌策略具有成本-效益比优势。鉴于根除Hp预防胃癌在胃癌高发区人群中有成本-效益比优势，因此推荐在胃癌高发区实施Hp“筛查和治疗”策略。这一策略应与内镜筛查策略相结合，以便提高早期胃癌检出率和发现需要随访的胃癌高风险个体。除在胃癌高发区实施根除Hp“筛查和治疗”策略外，也有必要在胃癌高风险个体中实施这一策略。早期胃癌内镜下切除术后、有胃癌家族史、已证实有胃黏膜萎缩和(或)肠化生或来自胃癌高发区等均属于胃癌高风险个体。在胃黏膜发生萎缩和(或)肠化生前根除Hp几乎可完全预防肠型胃癌发生，但已发生胃黏膜萎缩和(或)肠化生时根除Hp就不足以完全消除这一风险，因此需要对这些个体进行随访。慢性胃炎OLGA(Operative Link for Gastritis Assessment)或 OLGIM (Operative Link for GastricIntestinal Metaplasia Assessment)分期系统有助于预测胃癌发生风险，Ⅲ期和Ⅳ期的高风险个体需要定期内镜随访。应提高公众预防胃癌的知晓度。让公众知晓胃癌的危害和预防胃癌的相关知识，有助于推动胃癌预防。公众需要知晓的是:我国是胃癌高发国家;我国发现的胃癌多数处于晚期，预后差，早期发现、治疗的预后好;早期胃癌无症状或症状缺乏特异性，内镜检查是早期发现胃癌的主要方法;根除Hp可降低胃癌发生率，尤其是早期根除;有胃癌家族史者是胃癌发生高风险个体;纠正不良环境因素(高盐、吸烟等)和增加新鲜蔬菜、水果摄入也很重要。</w:t>
      </w:r>
    </w:p>
    <w:p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诊断方法   </w:t>
      </w:r>
    </w:p>
    <w:p>
      <w:pPr>
        <w:ind w:firstLine="43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（1）侵入性方法：包括组织学检测、快速尿素酶试验（RUT）、Hp培养和聚合酶链反应（PCR）检测。胃镜检查如需活检，若患者无活检禁忌，临床上推荐RUT检测Hp，病理组织学检测可作为备选。</w:t>
      </w:r>
    </w:p>
    <w:p>
      <w:pPr>
        <w:ind w:firstLine="43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非侵入性方法：包括尿素呼气试验（UBT）、Hp粪便抗原检测和血清学检测。其中UBT是推荐的方法，具有检测准确性相对较高、操作方便和不受Hp在胃内灶性分布的限制等优点。常规血清学试验检测Hp抗体IgG，阳性不一定是现症感染，不能用于根除治疗后复查，因此其临床应用受限，通常用于流行病学调查。如被检测者既往未接受抗Hp治疗，Hp抗体阳性可视为现症感染。消化性溃疡出血、胃MALT淋巴瘤和胃黏膜严重萎缩等疾病的患者存在Hp检测干扰因素或胃黏膜Hp菌量少，此时用其他方法检测可能会导致假阴性，而血清学试验则不受这些因素影响，Hp抗体阳性亦可视为现症感染。Hp检测前必须停用质子泵抑制剂（PPI）至少2周，停用抗菌药物、铋剂和某些具有抗菌作用的中药至少4周。PPI抑制胃酸分泌，显著提高胃内pH值水平，从而抑制Hp尿素酶活性。抗菌药物、铋剂和某些具有抗菌作用的中药可以抑制Hp生长，降低其活性。Hp检测前服用这些药物可显著影响基于尿素酶活性（RUT、UBT）试验的Hp检出，造成假阴性。血清学试验检测Hp抗体，分子生物学方法检测Hp基因，不受这些药物的影响。</w:t>
      </w:r>
    </w:p>
    <w:p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诊断标准与诊断流程</w:t>
      </w:r>
    </w:p>
    <w:p>
      <w:pPr>
        <w:ind w:firstLine="43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诊断标准：符合下述3项之一者可判断为Hp现症感染：①胃黏膜组织RUT、组织切片染色或细菌培养3项中任一项阳性。②13C或14C⁃UBT阳性。③粪便Hp抗原（HpSA）检测（经临床验证的单克隆抗体法）阳性。血清Hp抗体检测（经临床验证、准确性高的试剂）阳性提示曾经感染，从未治疗者可视为现症感染。</w:t>
      </w:r>
    </w:p>
    <w:p>
      <w:pPr>
        <w:ind w:firstLine="43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（2）诊断流程：见图1。</w:t>
      </w:r>
    </w:p>
    <w:p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0" distR="0">
            <wp:extent cx="3784600" cy="255651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09351" cy="2573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治疗</w:t>
      </w:r>
    </w:p>
    <w:p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（一）根除指征</w:t>
      </w:r>
    </w:p>
    <w:p>
      <w:pPr>
        <w:ind w:firstLine="42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除Hp可促进消化性溃疡愈合和降低溃疡并发症发生率，预防溃疡复发，根除Hp可使约80%早期胃MALT淋巴瘤获得缓解。与无症状和并发症的Hp感染者相比，上述患者根除Hp的获益更大。胃癌发生高风险个体（有胃癌家族史、早期胃癌内镜下切除术后和胃黏膜萎缩和/或肠化生等）根除Hp预防胃癌的获益高于低风险个体。多次根除治疗失败后治疗难度增加，应再次评估治疗的获益⁃风险比，进行个体化处理。Hp胃炎作为一种感染性疾病，所有Hp阳性者均有必要治疗。但目前我国Hp感染率仍达约50%，主动筛查所有Hp阳性者并进行治疗并不现实。现阶段仍然需要根除Hp指征（表1），以便主动对获益较大的个体进行Hp检测和治疗。</w:t>
      </w:r>
    </w:p>
    <w:p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0" distR="0">
            <wp:extent cx="4003675" cy="28702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31310" cy="288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>
      <w:pPr>
        <w:ind w:firstLine="422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（二）治疗方案</w:t>
      </w:r>
    </w:p>
    <w:p>
      <w:pPr>
        <w:ind w:firstLine="42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Hp耐药是全球面临的重要难题，我国的Hp耐药形势更为严峻。总体而言，Hp对克拉霉素、甲硝唑和左氧氟沙星的耐药率（包括多重耐药率）呈上升趋势，而对阿莫西林、四环素和呋喃唑酮的耐药率很低。抗菌药物耐药率的逐年上升导致传统三联方案根除率不断降低，标准三联方案在我国大部分地区不再适合作为一线Hp根除方案。</w:t>
      </w:r>
    </w:p>
    <w:p>
      <w:pPr>
        <w:ind w:firstLine="42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第五次全国幽门螺杆菌感染处理共识报告》推荐铋剂四联方案作为主要的经验性治疗根除Hp方案，共包括7个方案，各方案的剂量及用法见表2。共识推荐的7种经验治疗方案的临床试验均采用了14d疗程，根除率＞90%［91，94-95，103-104］，因此尽可能将疗程延长至14d应该是合适的选择。但鉴于我国Hp耐药率有可能存在显著的地区差异，如果能够证实当地某些方案10d疗程的根除率接近或达到90%，则仍可选择10d疗程。除含左氧氟沙星的方案不作为初次治疗方案外，根除治疗不分一线、二线，应尽可能将疗效高的方案用于初次治疗。</w:t>
      </w:r>
    </w:p>
    <w:p>
      <w:pPr>
        <w:ind w:firstLine="42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国多数地区推荐经验性铋剂四联治疗方案疗程为14d，除非当地的研究证实10d治疗有效（根除率&gt;90%）。根除方案中抗生素菌药物组合的选择应参考当地人群的Hp耐药率和个人抗菌药物使用史。此外，方案的选择应该权衡疗效、费用、潜在不良反应和药物可获得性，做出个体化抉择（表2）。初次治疗失败后，可在其余方案中选择一种方案进行补救治疗。方案的选择需根据当地的Hp抗菌药物耐药率和个人药物使用史，权衡疗效、药物费用、不良反应和药物可获得性（表2）。</w:t>
      </w:r>
    </w:p>
    <w:p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0" distR="0">
            <wp:extent cx="5293360" cy="244792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16123" cy="2504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补救方案的选择应参考以前用过的方案，原则上不重复原方案。如方案中已应用克拉霉素或左氧氟沙星则应避免再次使用。经验治疗推荐7种铋剂四联方案，初次治疗可选择6种方案(不选含左氧氟沙星方案);初次治疗失败后，补救治疗避免选择已用过的方案，可选含左氧氟沙星方案，因此仍有6种方案可供选择。克拉霉素和左氧氟沙星应避免重复使用。本共识推荐的含克拉霉素或左氧氟沙星方案无重复;但含甲硝唑的方案有2种，会有重复应用可能。重复应用甲硝唑需优化剂量 (甲硝唑增加至1600mg/d)，如初次治疗已用了优化剂量，则不应再次使用。上述方案选择原则也适用于第二次补救治疗。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抑酸剂在根除方案中起重要作用，选择作用稳定、疗效高、受CYP2C19基因多态性影响较小的PPI，可提高根除率。目前推荐的根除Hp方案均含有PPI。PPI在根除Hp治疗中的主要作用是抑制胃酸分泌、提高胃内pH值从而增强抗菌药物的作用，包括降低最小抑菌浓度、增加抗菌药物化学稳定性和提高胃液内抗菌药物浓度。PPI的抑酸作用受药物作用强度、宿主参与PPI代谢的CYP2C19基因多态性等因素影响。选择作用稳定、疗效高、受CYP2C19基因多态性影响较小的PPI，可提高Hp根除率。新的钾离子竞争性酸阻滞剂(potassiumcompetitiveacidblocker)Vonoprazan抑酸分泌作用更强，其应用有望进一步提高Hp根除率。</w:t>
      </w:r>
    </w:p>
    <w:p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青霉素过敏者推荐的铋剂四联方案抗菌药物组合为:①四环素+甲硝唑;②四环素+呋喃唑酮;③四环素+左氧氟沙星;④克拉霉素+呋喃唑酮;⑤克拉霉素+甲硝唑;⑥克拉霉素+左氧氟沙星。在推荐的7种铋剂四联方案中，5种方案抗菌药物组合中含有阿莫西林。阿莫西林抗Hp作用强，不易产生耐药，不过敏者不良反应发生率低，是根除Hp治疗的首选抗菌药物。青霉素过敏者可用耐药率低的四环素替代阿莫西林。四环素与甲硝唑或呋喃唑酮的组合方案已得到推荐，与左氧氟沙星的组合也被证实有效。难以获得四环素或四环素有禁忌时，可选择其他抗菌药物组合方案，包括克拉霉素+呋喃唑酮、克拉霉素+甲硝唑和克拉霉素+左氧氟沙星。注意方案⑤和⑥组合的2种抗菌药物Hp耐药率已很高，如果选用，应尽可能将疗程延长至14d。</w:t>
      </w:r>
    </w:p>
    <w:p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Hp感染与胃肠道微生态</w:t>
      </w:r>
    </w:p>
    <w:p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Hp根除治疗可短期影响肠道菌群，其远期影响尚不明确。目前推荐的根除Hp治疗方案中至少包含2种抗菌药物，抗菌药物的应用会使肠道菌群发生短期改变［167-168］，但其长期影响尚不清楚。对一些胃肠道微生物群不成熟(幼童)或不稳定者(老年人、免疫缺陷者等)根除Hp抗菌药物应用需谨慎。必要时可在根除Hp治疗同时或根除治疗后补充微生态制剂，以降低抗菌药物对肠道微生态的不良影响。</w:t>
      </w:r>
    </w:p>
    <w:p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某些益生菌可在一定程度上降低Hp根除治疗引起的胃肠道不良反应。益生菌种类多，应用剂量不一，与根除Hp治疗联合的用药方法也未统一(根除治疗前、后或同时服用)。目前益生菌在根除Hp治疗中的辅助作用尚有争议，相关meta分析得出的结论不同，共识报告也有不同观点。某些益生菌可减轻根除Hp治疗时胃肠道不良反应少有争议，但是否可提高Hp根除率则尚需更多设计良好的研究证实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疾病管理</w:t>
      </w:r>
    </w:p>
    <w:p>
      <w:pPr>
        <w:ind w:firstLine="42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（一）基层医疗机构Hp感染管理流程</w:t>
      </w:r>
    </w:p>
    <w:p>
      <w:pPr>
        <w:ind w:firstLine="42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1.因消化不良症状就诊的患者：存在消化不良症状的患者管理流程见图2。</w:t>
      </w:r>
    </w:p>
    <w:p>
      <w:pPr>
        <w:ind w:firstLine="42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2.个人要求检测Hp：针对无症状个人要求检测Hp的人群，年龄＜14岁者不推荐进行相关检查，年龄≥14岁者，根据图1流程进行检测，Hp阳性者给予根除Hp治疗，根除失败者需转诊上级医院进行相关诊疗。</w:t>
      </w:r>
    </w:p>
    <w:p>
      <w:pPr>
        <w:ind w:firstLine="42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（二）筛查</w:t>
      </w:r>
    </w:p>
    <w:p>
      <w:pPr>
        <w:ind w:firstLine="42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1.建议筛查对象：（1）胃癌高发区人群（年龄&gt;14岁）。（2）胃癌高风险个体（年龄&gt;14岁）：早期胃癌内镜下切除术后、有胃癌家族史、已证实有胃黏膜萎缩和/或肠化生或来自胃癌高发区等均属于胃癌高风险个体。</w:t>
      </w:r>
    </w:p>
    <w:p>
      <w:pPr>
        <w:ind w:firstLine="42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2.筛查方法：以非侵入性Hp检测方法为主。如患者有胃癌报警症状（包括消化道出血、呕吐、消瘦、上腹部包块等）或属于胃癌高风险个体，建议联合内镜进行早癌筛查等。</w:t>
      </w:r>
    </w:p>
    <w:p>
      <w:pPr>
        <w:ind w:firstLine="42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42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（三）随访评估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推荐所有患者均应在根除治疗后行Hp复查。多数患者根除治疗后不需要复查胃镜，可采用非侵入性方法检测Hp，UBT是最佳选择。评估应在根除治疗结束后4~8周进行，此期间服用抗菌药物、铋剂和某些具有抗菌作用中药或PPI均会影响检测结果。对于胃癌高风险人群，建议根除Hp治疗后定期随访检测Hp。   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（四）健康管理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1.避免家庭性感染：Hp感染主要在家庭内传播，避免导致母婴传播的不良喂食习惯，并提倡分餐制减少感染Hp的机会，餐具定期消毒。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2.保持口腔健康，戒烟。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3.改善饮食习惯：避免喝生水、吃生的食物，同时食物应多样化，避免偏食，注意补充多种营养物质；不吃霉变食物；少吃熏制、腌制、富含硝酸盐和亚硝酸盐的食物，多吃新鲜食品；避免过于粗糙、浓烈、辛辣食物及大量长期饮酒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4.保持良好心理状态及充足睡眠。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0" distR="0">
            <wp:extent cx="5274310" cy="414591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45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附测试题（单选题）</w:t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1.幽门螺旋杆菌是一种 （）</w:t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A细菌  B.真菌  C病毒  D、支原体</w:t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2.幽门螺旋杆菌适合在什么环境下生长?   （）</w:t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A.酸性 B.碱性 C.中性 D.强酸性</w:t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3.Hp什么时候被发现的?   （）</w:t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A1962   B.1862   C. 1982  D. 1682</w:t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4.幽门螺旋杆菌感染的主要症状有哪些，以下最准确的是?  （）</w:t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A.腹痛、腹胀</w:t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B.恶心呕吐</w:t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 xml:space="preserve">C.口臭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D.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以上都是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5.幽门螺旋杆菌感染后主要危害有哪些?  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（）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A.胃炎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B.消化性溃疡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C.胃癌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D. 以上都是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6.幽门螺旋杆菌检测最简单，无创，准确性高的方法是什么?  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（）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A抽血化验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B.胃镜检查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C.呼气试验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D.活检病理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7.从正常的胃到胃癌中间一共分为六个阶段，对于胃病最好不要晚于哪个阶段进行检查和治疗?  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（）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A.胃溃疡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B.十二指肠溃疡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C.萎缩性胃炎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D.胃粘膜脱垂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8.Hp感染治疗后不需要复查  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（）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A．对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B．错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9.感染幽门螺旋杆菌跟我们生活习惯有密切的关系。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（）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A．对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B．错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10.感染幽门螺旋杆菌之后一定会得胃病或胃癌  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（）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A. 对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B．错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center"/>
        <w:rPr>
          <w:rFonts w:hint="eastAsia"/>
        </w:rPr>
      </w:pPr>
    </w:p>
    <w:sectPr>
      <w:footerReference r:id="rId3" w:type="default"/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FZSSK--GBK1-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E-BZ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E-BX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06912684"/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rPr>
            <w:lang w:val="zh-CN"/>
          </w:rP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KY_MEDREF_DOCUID" w:val="{2C67D3D6-EA54-4462-AFDF-EE5F173B331C}"/>
    <w:docVar w:name="KY_MEDREF_VERSION" w:val="3"/>
  </w:docVars>
  <w:rsids>
    <w:rsidRoot w:val="00CB43D7"/>
    <w:rsid w:val="0001434F"/>
    <w:rsid w:val="00016DBA"/>
    <w:rsid w:val="000268A2"/>
    <w:rsid w:val="00032733"/>
    <w:rsid w:val="00036BED"/>
    <w:rsid w:val="000454CD"/>
    <w:rsid w:val="00063C48"/>
    <w:rsid w:val="00070465"/>
    <w:rsid w:val="000718F2"/>
    <w:rsid w:val="000868C6"/>
    <w:rsid w:val="000B0F0F"/>
    <w:rsid w:val="000B2A25"/>
    <w:rsid w:val="000C3A94"/>
    <w:rsid w:val="0011554F"/>
    <w:rsid w:val="00154E8B"/>
    <w:rsid w:val="0016430E"/>
    <w:rsid w:val="00171660"/>
    <w:rsid w:val="0018142F"/>
    <w:rsid w:val="00184B68"/>
    <w:rsid w:val="001E05B3"/>
    <w:rsid w:val="001F3723"/>
    <w:rsid w:val="0023758D"/>
    <w:rsid w:val="002533AD"/>
    <w:rsid w:val="00256FA3"/>
    <w:rsid w:val="0026454F"/>
    <w:rsid w:val="0027035E"/>
    <w:rsid w:val="00276AFE"/>
    <w:rsid w:val="002866A4"/>
    <w:rsid w:val="0029716C"/>
    <w:rsid w:val="0031785C"/>
    <w:rsid w:val="003A5CF6"/>
    <w:rsid w:val="003B43FB"/>
    <w:rsid w:val="003C1A15"/>
    <w:rsid w:val="003C4E14"/>
    <w:rsid w:val="003D2B32"/>
    <w:rsid w:val="00401140"/>
    <w:rsid w:val="00401344"/>
    <w:rsid w:val="00404292"/>
    <w:rsid w:val="004105CB"/>
    <w:rsid w:val="00420D9F"/>
    <w:rsid w:val="004626A4"/>
    <w:rsid w:val="00471B7B"/>
    <w:rsid w:val="004A783F"/>
    <w:rsid w:val="004B7B08"/>
    <w:rsid w:val="004C0FD3"/>
    <w:rsid w:val="004D4FD4"/>
    <w:rsid w:val="004F1053"/>
    <w:rsid w:val="00524B99"/>
    <w:rsid w:val="00525E91"/>
    <w:rsid w:val="005434E5"/>
    <w:rsid w:val="005518B2"/>
    <w:rsid w:val="005534F7"/>
    <w:rsid w:val="00555BA9"/>
    <w:rsid w:val="005901C1"/>
    <w:rsid w:val="005A150C"/>
    <w:rsid w:val="0063103E"/>
    <w:rsid w:val="0067134A"/>
    <w:rsid w:val="006A328B"/>
    <w:rsid w:val="006D7EE3"/>
    <w:rsid w:val="006E48DC"/>
    <w:rsid w:val="0071512D"/>
    <w:rsid w:val="0079205E"/>
    <w:rsid w:val="007A786C"/>
    <w:rsid w:val="007B75DB"/>
    <w:rsid w:val="007E0540"/>
    <w:rsid w:val="007E7AB0"/>
    <w:rsid w:val="0080090D"/>
    <w:rsid w:val="00800C4C"/>
    <w:rsid w:val="0081068F"/>
    <w:rsid w:val="00832A23"/>
    <w:rsid w:val="008946E8"/>
    <w:rsid w:val="008A0257"/>
    <w:rsid w:val="008F60C7"/>
    <w:rsid w:val="00936108"/>
    <w:rsid w:val="0094097C"/>
    <w:rsid w:val="00983554"/>
    <w:rsid w:val="009C2652"/>
    <w:rsid w:val="009E6E3F"/>
    <w:rsid w:val="00A120CA"/>
    <w:rsid w:val="00A163B6"/>
    <w:rsid w:val="00A22E1F"/>
    <w:rsid w:val="00A637D2"/>
    <w:rsid w:val="00A81C9C"/>
    <w:rsid w:val="00AA0D5B"/>
    <w:rsid w:val="00AD4F33"/>
    <w:rsid w:val="00AF56A7"/>
    <w:rsid w:val="00B127B5"/>
    <w:rsid w:val="00B26516"/>
    <w:rsid w:val="00B66406"/>
    <w:rsid w:val="00B946E1"/>
    <w:rsid w:val="00BA2D84"/>
    <w:rsid w:val="00BA366E"/>
    <w:rsid w:val="00BB54D1"/>
    <w:rsid w:val="00BD4D4A"/>
    <w:rsid w:val="00BF0E51"/>
    <w:rsid w:val="00C057D5"/>
    <w:rsid w:val="00C46E0D"/>
    <w:rsid w:val="00CA347A"/>
    <w:rsid w:val="00CB43D7"/>
    <w:rsid w:val="00CC098E"/>
    <w:rsid w:val="00CD3E52"/>
    <w:rsid w:val="00CD74F8"/>
    <w:rsid w:val="00D22184"/>
    <w:rsid w:val="00D4403C"/>
    <w:rsid w:val="00D6773F"/>
    <w:rsid w:val="00D735F8"/>
    <w:rsid w:val="00D76A2D"/>
    <w:rsid w:val="00DC5CA4"/>
    <w:rsid w:val="00DD3CAE"/>
    <w:rsid w:val="00DD4163"/>
    <w:rsid w:val="00DF222E"/>
    <w:rsid w:val="00E222C9"/>
    <w:rsid w:val="00E245AD"/>
    <w:rsid w:val="00E37FD9"/>
    <w:rsid w:val="00E450E1"/>
    <w:rsid w:val="00E56937"/>
    <w:rsid w:val="00E6251D"/>
    <w:rsid w:val="00E70B09"/>
    <w:rsid w:val="00E87B2C"/>
    <w:rsid w:val="00EC4C10"/>
    <w:rsid w:val="00F367CB"/>
    <w:rsid w:val="00F414EB"/>
    <w:rsid w:val="00F43BA6"/>
    <w:rsid w:val="00F731CB"/>
    <w:rsid w:val="00FA127F"/>
    <w:rsid w:val="00FC64D5"/>
    <w:rsid w:val="00FF16A0"/>
    <w:rsid w:val="02382AA3"/>
    <w:rsid w:val="06E246E2"/>
    <w:rsid w:val="14864379"/>
    <w:rsid w:val="17631446"/>
    <w:rsid w:val="2B371183"/>
    <w:rsid w:val="381263A3"/>
    <w:rsid w:val="3DC42D5C"/>
    <w:rsid w:val="4146096F"/>
    <w:rsid w:val="48DD04FF"/>
    <w:rsid w:val="4BED19E4"/>
    <w:rsid w:val="566A111C"/>
    <w:rsid w:val="5B7C7FBD"/>
    <w:rsid w:val="61B22130"/>
    <w:rsid w:val="65E02E9A"/>
    <w:rsid w:val="6CB546DE"/>
    <w:rsid w:val="6DE27564"/>
    <w:rsid w:val="6E7975A5"/>
    <w:rsid w:val="700C1F3A"/>
    <w:rsid w:val="7A820DC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qFormat="1" w:uiPriority="99" w:semiHidden="0" w:name="endnote reference"/>
    <w:lsdException w:qFormat="1" w:uiPriority="99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20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10">
    <w:name w:val="Default Paragraph Font"/>
    <w:unhideWhenUsed/>
    <w:qFormat/>
    <w:uiPriority w:val="1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21"/>
    <w:unhideWhenUsed/>
    <w:qFormat/>
    <w:uiPriority w:val="99"/>
    <w:pPr>
      <w:widowControl/>
      <w:ind w:left="100" w:leftChars="2500"/>
      <w:jc w:val="left"/>
    </w:pPr>
    <w:rPr>
      <w:rFonts w:ascii="Calibri" w:hAnsi="Calibri" w:eastAsia="宋体" w:cs="Times New Roman"/>
    </w:rPr>
  </w:style>
  <w:style w:type="paragraph" w:styleId="5">
    <w:name w:val="endnote text"/>
    <w:basedOn w:val="1"/>
    <w:link w:val="22"/>
    <w:unhideWhenUsed/>
    <w:qFormat/>
    <w:uiPriority w:val="99"/>
    <w:pPr>
      <w:widowControl/>
      <w:adjustRightInd w:val="0"/>
      <w:snapToGrid w:val="0"/>
      <w:spacing w:after="200"/>
      <w:jc w:val="left"/>
    </w:pPr>
    <w:rPr>
      <w:rFonts w:ascii="Tahoma" w:hAnsi="Tahoma" w:eastAsia="微软雅黑"/>
      <w:kern w:val="0"/>
      <w:sz w:val="22"/>
    </w:rPr>
  </w:style>
  <w:style w:type="paragraph" w:styleId="6">
    <w:name w:val="Balloon Text"/>
    <w:basedOn w:val="1"/>
    <w:link w:val="19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4"/>
    <w:unhideWhenUsed/>
    <w:qFormat/>
    <w:uiPriority w:val="99"/>
    <w:pPr>
      <w:widowControl/>
      <w:pBdr>
        <w:bottom w:val="single" w:color="auto" w:sz="6" w:space="1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hAnsi="Tahoma" w:eastAsia="微软雅黑"/>
      <w:kern w:val="0"/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endnote reference"/>
    <w:basedOn w:val="10"/>
    <w:unhideWhenUsed/>
    <w:qFormat/>
    <w:uiPriority w:val="99"/>
    <w:rPr>
      <w:vertAlign w:val="superscript"/>
    </w:rPr>
  </w:style>
  <w:style w:type="character" w:styleId="13">
    <w:name w:val="FollowedHyperlink"/>
    <w:basedOn w:val="10"/>
    <w:unhideWhenUsed/>
    <w:qFormat/>
    <w:uiPriority w:val="99"/>
    <w:rPr>
      <w:color w:val="800080" w:themeColor="followedHyperlink"/>
      <w:u w:val="single"/>
    </w:rPr>
  </w:style>
  <w:style w:type="character" w:styleId="14">
    <w:name w:val="Hyperlink"/>
    <w:basedOn w:val="10"/>
    <w:unhideWhenUsed/>
    <w:qFormat/>
    <w:uiPriority w:val="99"/>
    <w:rPr>
      <w:color w:val="0000FF"/>
      <w:u w:val="single"/>
    </w:rPr>
  </w:style>
  <w:style w:type="table" w:styleId="16">
    <w:name w:val="Table Grid"/>
    <w:basedOn w:val="15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页脚 Char"/>
    <w:basedOn w:val="10"/>
    <w:link w:val="7"/>
    <w:qFormat/>
    <w:uiPriority w:val="99"/>
    <w:rPr>
      <w:sz w:val="18"/>
      <w:szCs w:val="18"/>
    </w:rPr>
  </w:style>
  <w:style w:type="paragraph" w:customStyle="1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批注框文本 Char"/>
    <w:basedOn w:val="10"/>
    <w:link w:val="6"/>
    <w:semiHidden/>
    <w:qFormat/>
    <w:uiPriority w:val="99"/>
    <w:rPr>
      <w:sz w:val="18"/>
      <w:szCs w:val="18"/>
    </w:rPr>
  </w:style>
  <w:style w:type="character" w:customStyle="1" w:styleId="20">
    <w:name w:val="标题 3 Char"/>
    <w:basedOn w:val="10"/>
    <w:link w:val="3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21">
    <w:name w:val="日期 Char"/>
    <w:basedOn w:val="10"/>
    <w:link w:val="4"/>
    <w:semiHidden/>
    <w:qFormat/>
    <w:uiPriority w:val="99"/>
    <w:rPr>
      <w:rFonts w:ascii="Calibri" w:hAnsi="Calibri" w:eastAsia="宋体" w:cs="Times New Roman"/>
    </w:rPr>
  </w:style>
  <w:style w:type="character" w:customStyle="1" w:styleId="22">
    <w:name w:val="尾注文本 Char"/>
    <w:basedOn w:val="10"/>
    <w:link w:val="5"/>
    <w:qFormat/>
    <w:uiPriority w:val="99"/>
    <w:rPr>
      <w:rFonts w:ascii="Tahoma" w:hAnsi="Tahoma" w:eastAsia="微软雅黑"/>
      <w:kern w:val="0"/>
      <w:sz w:val="22"/>
    </w:rPr>
  </w:style>
  <w:style w:type="table" w:customStyle="1" w:styleId="23">
    <w:name w:val="网格型1"/>
    <w:basedOn w:val="15"/>
    <w:qFormat/>
    <w:uiPriority w:val="59"/>
    <w:rPr>
      <w:rFonts w:eastAsia="微软雅黑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页眉 Char"/>
    <w:basedOn w:val="10"/>
    <w:link w:val="8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table" w:customStyle="1" w:styleId="25">
    <w:name w:val="网格型2"/>
    <w:basedOn w:val="15"/>
    <w:qFormat/>
    <w:uiPriority w:val="59"/>
    <w:rPr>
      <w:rFonts w:eastAsia="微软雅黑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网格型3"/>
    <w:basedOn w:val="15"/>
    <w:qFormat/>
    <w:uiPriority w:val="59"/>
    <w:rPr>
      <w:rFonts w:eastAsia="微软雅黑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网格型11"/>
    <w:basedOn w:val="15"/>
    <w:qFormat/>
    <w:uiPriority w:val="59"/>
    <w:rPr>
      <w:rFonts w:ascii="Times New Roman" w:hAnsi="Times New Roman" w:eastAsia="微软雅黑" w:cs="Times New Roman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网格型21"/>
    <w:basedOn w:val="15"/>
    <w:qFormat/>
    <w:uiPriority w:val="59"/>
    <w:rPr>
      <w:rFonts w:ascii="Times New Roman" w:hAnsi="Times New Roman" w:eastAsia="微软雅黑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网格型31"/>
    <w:basedOn w:val="15"/>
    <w:qFormat/>
    <w:uiPriority w:val="59"/>
    <w:rPr>
      <w:rFonts w:ascii="Times New Roman" w:hAnsi="Times New Roman" w:eastAsia="微软雅黑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网格型12"/>
    <w:basedOn w:val="15"/>
    <w:qFormat/>
    <w:uiPriority w:val="59"/>
    <w:rPr>
      <w:rFonts w:ascii="Calibri" w:hAnsi="Calibri" w:eastAsia="微软雅黑" w:cs="Times New Roman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">
    <w:name w:val="fontstyle01"/>
    <w:basedOn w:val="10"/>
    <w:qFormat/>
    <w:uiPriority w:val="0"/>
    <w:rPr>
      <w:rFonts w:hint="default" w:ascii="FZSSK--GBK1-0" w:hAnsi="FZSSK--GBK1-0"/>
      <w:color w:val="000000"/>
      <w:sz w:val="18"/>
      <w:szCs w:val="18"/>
    </w:rPr>
  </w:style>
  <w:style w:type="character" w:customStyle="1" w:styleId="32">
    <w:name w:val="fontstyle11"/>
    <w:basedOn w:val="10"/>
    <w:qFormat/>
    <w:uiPriority w:val="0"/>
    <w:rPr>
      <w:rFonts w:hint="default" w:ascii="E-BZ" w:hAnsi="E-BZ"/>
      <w:color w:val="000000"/>
      <w:sz w:val="18"/>
      <w:szCs w:val="18"/>
    </w:rPr>
  </w:style>
  <w:style w:type="character" w:customStyle="1" w:styleId="33">
    <w:name w:val="fontstyle21"/>
    <w:basedOn w:val="10"/>
    <w:qFormat/>
    <w:uiPriority w:val="0"/>
    <w:rPr>
      <w:rFonts w:hint="default" w:ascii="FZSSK--GBK1-0" w:hAnsi="FZSSK--GBK1-0"/>
      <w:color w:val="000000"/>
      <w:sz w:val="18"/>
      <w:szCs w:val="18"/>
    </w:rPr>
  </w:style>
  <w:style w:type="character" w:customStyle="1" w:styleId="34">
    <w:name w:val="fontstyle31"/>
    <w:basedOn w:val="10"/>
    <w:qFormat/>
    <w:uiPriority w:val="0"/>
    <w:rPr>
      <w:rFonts w:hint="default" w:ascii="E-BX" w:hAnsi="E-BX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7B2AA7-8F81-4EC5-B477-F5266B05B3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938</Words>
  <Characters>5349</Characters>
  <Lines>44</Lines>
  <Paragraphs>12</Paragraphs>
  <ScaleCrop>false</ScaleCrop>
  <LinksUpToDate>false</LinksUpToDate>
  <CharactersWithSpaces>6275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2019-01-25T01:56:00Z</dcterms:created>
  <dc:creator>无道</dc:creator>
  <cp:lastModifiedBy>lenovo</cp:lastModifiedBy>
  <dcterms:modified xsi:type="dcterms:W3CDTF">2022-02-16T09:04:31Z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  <property fmtid="{D5CDD505-2E9C-101B-9397-08002B2CF9AE}" pid="3" name="ICV">
    <vt:lpwstr>7BCC3873F0D54072BCA4B0A060CCCCA1</vt:lpwstr>
  </property>
</Properties>
</file>